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4"/>
        <w:ind w:firstLine="210"/>
        <w:rPr>
          <w:rFonts w:hint="eastAsia"/>
        </w:rPr>
      </w:pPr>
    </w:p>
    <w:p w14:paraId="447D0333">
      <w:pPr>
        <w:pStyle w:val="8"/>
        <w:rPr>
          <w:rFonts w:hint="eastAsia" w:ascii="黑体" w:hAnsi="黑体" w:eastAsia="黑体" w:cs="黑体"/>
        </w:rPr>
      </w:pPr>
      <w:r>
        <w:rPr>
          <w:rFonts w:hint="eastAsia" w:ascii="黑体" w:hAnsi="黑体" w:eastAsia="黑体" w:cs="黑体"/>
        </w:rPr>
        <w:t>项目背景</w:t>
      </w:r>
    </w:p>
    <w:p w14:paraId="3E1148CB">
      <w:pPr>
        <w:numPr>
          <w:ilvl w:val="0"/>
          <w:numId w:val="0"/>
        </w:numPr>
        <w:spacing w:line="240" w:lineRule="auto"/>
        <w:ind w:firstLine="560" w:firstLineChars="200"/>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近年来，国家卫生健康委员会多次强调医疗机构信息化建设的重要性，要求各级医院加强信息系统的稳定性和安全性，确保医疗服务的连续性。特别是在2022年11月</w:t>
      </w:r>
      <w:r>
        <w:rPr>
          <w:rFonts w:hint="eastAsia" w:ascii="仿宋" w:hAnsi="仿宋" w:eastAsia="仿宋" w:cs="仿宋"/>
          <w:b w:val="0"/>
          <w:bCs w:val="0"/>
          <w:sz w:val="28"/>
          <w:szCs w:val="28"/>
          <w:lang w:val="en-US" w:eastAsia="zh-CN"/>
        </w:rPr>
        <w:t>国家卫健委印发的</w:t>
      </w:r>
      <w:r>
        <w:rPr>
          <w:rFonts w:hint="default" w:ascii="仿宋" w:hAnsi="仿宋" w:eastAsia="仿宋" w:cs="仿宋"/>
          <w:b w:val="0"/>
          <w:bCs w:val="0"/>
          <w:sz w:val="28"/>
          <w:szCs w:val="28"/>
          <w:lang w:val="en-US" w:eastAsia="zh-CN"/>
        </w:rPr>
        <w:t>《“十四五”全民健康信息化规划》</w:t>
      </w:r>
      <w:r>
        <w:rPr>
          <w:rFonts w:hint="eastAsia" w:ascii="仿宋" w:hAnsi="仿宋" w:eastAsia="仿宋" w:cs="仿宋"/>
          <w:b w:val="0"/>
          <w:bCs w:val="0"/>
          <w:sz w:val="28"/>
          <w:szCs w:val="28"/>
          <w:lang w:val="en-US" w:eastAsia="zh-CN"/>
        </w:rPr>
        <w:t>、三甲医院信息系统等级保护（</w:t>
      </w:r>
      <w:r>
        <w:rPr>
          <w:rFonts w:hint="default" w:ascii="仿宋" w:hAnsi="仿宋" w:eastAsia="仿宋" w:cs="仿宋"/>
          <w:b w:val="0"/>
          <w:bCs w:val="0"/>
          <w:sz w:val="28"/>
          <w:szCs w:val="28"/>
          <w:lang w:val="en-US" w:eastAsia="zh-CN"/>
        </w:rPr>
        <w:t>《网络安全等级保护基本要求》（GB/T 22239-2019）三级标准</w:t>
      </w:r>
      <w:r>
        <w:rPr>
          <w:rFonts w:hint="eastAsia" w:ascii="仿宋" w:hAnsi="仿宋" w:eastAsia="仿宋" w:cs="仿宋"/>
          <w:b w:val="0"/>
          <w:bCs w:val="0"/>
          <w:sz w:val="28"/>
          <w:szCs w:val="28"/>
          <w:lang w:val="en-US" w:eastAsia="zh-CN"/>
        </w:rPr>
        <w:t>）规范</w:t>
      </w:r>
      <w:r>
        <w:rPr>
          <w:rFonts w:hint="default" w:ascii="仿宋" w:hAnsi="仿宋" w:eastAsia="仿宋" w:cs="仿宋"/>
          <w:b w:val="0"/>
          <w:bCs w:val="0"/>
          <w:sz w:val="28"/>
          <w:szCs w:val="28"/>
          <w:lang w:val="en-US" w:eastAsia="zh-CN"/>
        </w:rPr>
        <w:t>中，明确提出</w:t>
      </w:r>
      <w:r>
        <w:rPr>
          <w:rFonts w:hint="eastAsia" w:ascii="仿宋" w:hAnsi="仿宋" w:eastAsia="仿宋" w:cs="仿宋"/>
          <w:b w:val="0"/>
          <w:bCs w:val="0"/>
          <w:sz w:val="28"/>
          <w:szCs w:val="28"/>
          <w:lang w:val="en-US" w:eastAsia="zh-CN"/>
        </w:rPr>
        <w:t>了</w:t>
      </w:r>
      <w:r>
        <w:rPr>
          <w:rFonts w:hint="default" w:ascii="仿宋" w:hAnsi="仿宋" w:eastAsia="仿宋" w:cs="仿宋"/>
          <w:b w:val="0"/>
          <w:bCs w:val="0"/>
          <w:sz w:val="28"/>
          <w:szCs w:val="28"/>
          <w:lang w:val="en-US" w:eastAsia="zh-CN"/>
        </w:rPr>
        <w:t>要提升医疗机构的IT基础设施水平，保障医疗信息系统的稳定</w:t>
      </w:r>
      <w:r>
        <w:rPr>
          <w:rFonts w:hint="eastAsia" w:ascii="仿宋" w:hAnsi="仿宋" w:eastAsia="仿宋" w:cs="仿宋"/>
          <w:b w:val="0"/>
          <w:bCs w:val="0"/>
          <w:sz w:val="28"/>
          <w:szCs w:val="28"/>
          <w:lang w:val="en-US" w:eastAsia="zh-CN"/>
        </w:rPr>
        <w:t>可靠</w:t>
      </w:r>
      <w:r>
        <w:rPr>
          <w:rFonts w:hint="default" w:ascii="仿宋" w:hAnsi="仿宋" w:eastAsia="仿宋" w:cs="仿宋"/>
          <w:b w:val="0"/>
          <w:bCs w:val="0"/>
          <w:sz w:val="28"/>
          <w:szCs w:val="28"/>
          <w:lang w:val="en-US" w:eastAsia="zh-CN"/>
        </w:rPr>
        <w:t>运行。医院作为24小时不间断运行的</w:t>
      </w:r>
      <w:r>
        <w:rPr>
          <w:rFonts w:hint="eastAsia" w:ascii="仿宋" w:hAnsi="仿宋" w:eastAsia="仿宋" w:cs="仿宋"/>
          <w:b w:val="0"/>
          <w:bCs w:val="0"/>
          <w:sz w:val="28"/>
          <w:szCs w:val="28"/>
          <w:lang w:val="en-US" w:eastAsia="zh-CN"/>
        </w:rPr>
        <w:t>人民健康卫生保障</w:t>
      </w:r>
      <w:r>
        <w:rPr>
          <w:rFonts w:hint="default" w:ascii="仿宋" w:hAnsi="仿宋" w:eastAsia="仿宋" w:cs="仿宋"/>
          <w:b w:val="0"/>
          <w:bCs w:val="0"/>
          <w:sz w:val="28"/>
          <w:szCs w:val="28"/>
          <w:lang w:val="en-US" w:eastAsia="zh-CN"/>
        </w:rPr>
        <w:t>机构，任何电力故障都可能导致医疗服务中断，影响患者的诊疗体验和医院的声誉</w:t>
      </w:r>
      <w:r>
        <w:rPr>
          <w:rFonts w:hint="eastAsia" w:ascii="仿宋" w:hAnsi="仿宋" w:eastAsia="仿宋" w:cs="仿宋"/>
          <w:b w:val="0"/>
          <w:bCs w:val="0"/>
          <w:sz w:val="28"/>
          <w:szCs w:val="28"/>
          <w:lang w:val="en-US" w:eastAsia="zh-CN"/>
        </w:rPr>
        <w:t>。严重情况下甚至会造成手术终端，对患者生命健康造成不可估量的危险和后果</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 xml:space="preserve"> 因此，信息机房的物理基础设施的配电系统，特别是其中的</w:t>
      </w:r>
      <w:r>
        <w:rPr>
          <w:rFonts w:hint="default" w:ascii="仿宋" w:hAnsi="仿宋" w:eastAsia="仿宋" w:cs="仿宋"/>
          <w:b w:val="0"/>
          <w:bCs w:val="0"/>
          <w:sz w:val="28"/>
          <w:szCs w:val="28"/>
          <w:lang w:val="en-US" w:eastAsia="zh-CN"/>
        </w:rPr>
        <w:t>UPS</w:t>
      </w:r>
      <w:r>
        <w:rPr>
          <w:rFonts w:hint="eastAsia" w:ascii="仿宋" w:hAnsi="仿宋" w:eastAsia="仿宋" w:cs="仿宋"/>
          <w:b w:val="0"/>
          <w:bCs w:val="0"/>
          <w:sz w:val="28"/>
          <w:szCs w:val="28"/>
          <w:lang w:val="en-US" w:eastAsia="zh-CN"/>
        </w:rPr>
        <w:t>不间断电源</w:t>
      </w:r>
      <w:r>
        <w:rPr>
          <w:rFonts w:hint="default" w:ascii="仿宋" w:hAnsi="仿宋" w:eastAsia="仿宋" w:cs="仿宋"/>
          <w:b w:val="0"/>
          <w:bCs w:val="0"/>
          <w:sz w:val="28"/>
          <w:szCs w:val="28"/>
          <w:lang w:val="en-US" w:eastAsia="zh-CN"/>
        </w:rPr>
        <w:t>系统</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作为</w:t>
      </w:r>
      <w:r>
        <w:rPr>
          <w:rFonts w:hint="eastAsia" w:ascii="仿宋" w:hAnsi="仿宋" w:eastAsia="仿宋" w:cs="仿宋"/>
          <w:b w:val="0"/>
          <w:bCs w:val="0"/>
          <w:sz w:val="28"/>
          <w:szCs w:val="28"/>
          <w:lang w:val="en-US" w:eastAsia="zh-CN"/>
        </w:rPr>
        <w:t>给</w:t>
      </w:r>
      <w:r>
        <w:rPr>
          <w:rFonts w:hint="default" w:ascii="仿宋" w:hAnsi="仿宋" w:eastAsia="仿宋" w:cs="仿宋"/>
          <w:b w:val="0"/>
          <w:bCs w:val="0"/>
          <w:sz w:val="28"/>
          <w:szCs w:val="28"/>
          <w:lang w:val="en-US" w:eastAsia="zh-CN"/>
        </w:rPr>
        <w:t>机房</w:t>
      </w:r>
      <w:r>
        <w:rPr>
          <w:rFonts w:hint="eastAsia" w:ascii="仿宋" w:hAnsi="仿宋" w:eastAsia="仿宋" w:cs="仿宋"/>
          <w:b w:val="0"/>
          <w:bCs w:val="0"/>
          <w:sz w:val="28"/>
          <w:szCs w:val="28"/>
          <w:lang w:val="en-US" w:eastAsia="zh-CN"/>
        </w:rPr>
        <w:t>提供稳定、可靠、不间断</w:t>
      </w:r>
      <w:r>
        <w:rPr>
          <w:rFonts w:hint="default" w:ascii="仿宋" w:hAnsi="仿宋" w:eastAsia="仿宋" w:cs="仿宋"/>
          <w:b w:val="0"/>
          <w:bCs w:val="0"/>
          <w:sz w:val="28"/>
          <w:szCs w:val="28"/>
          <w:lang w:val="en-US" w:eastAsia="zh-CN"/>
        </w:rPr>
        <w:t>电力保障的核心设备，其可靠性和</w:t>
      </w:r>
      <w:r>
        <w:rPr>
          <w:rFonts w:hint="eastAsia" w:ascii="仿宋" w:hAnsi="仿宋" w:eastAsia="仿宋" w:cs="仿宋"/>
          <w:b w:val="0"/>
          <w:bCs w:val="0"/>
          <w:sz w:val="28"/>
          <w:szCs w:val="28"/>
          <w:lang w:val="en-US" w:eastAsia="zh-CN"/>
        </w:rPr>
        <w:t>安全</w:t>
      </w:r>
      <w:r>
        <w:rPr>
          <w:rFonts w:hint="default" w:ascii="仿宋" w:hAnsi="仿宋" w:eastAsia="仿宋" w:cs="仿宋"/>
          <w:b w:val="0"/>
          <w:bCs w:val="0"/>
          <w:sz w:val="28"/>
          <w:szCs w:val="28"/>
          <w:lang w:val="en-US" w:eastAsia="zh-CN"/>
        </w:rPr>
        <w:t>冗余能力直接关系到</w:t>
      </w:r>
      <w:r>
        <w:rPr>
          <w:rFonts w:hint="eastAsia" w:ascii="仿宋" w:hAnsi="仿宋" w:eastAsia="仿宋" w:cs="仿宋"/>
          <w:b w:val="0"/>
          <w:bCs w:val="0"/>
          <w:sz w:val="28"/>
          <w:szCs w:val="28"/>
          <w:lang w:val="en-US" w:eastAsia="zh-CN"/>
        </w:rPr>
        <w:t>全</w:t>
      </w:r>
      <w:r>
        <w:rPr>
          <w:rFonts w:hint="default" w:ascii="仿宋" w:hAnsi="仿宋" w:eastAsia="仿宋" w:cs="仿宋"/>
          <w:b w:val="0"/>
          <w:bCs w:val="0"/>
          <w:sz w:val="28"/>
          <w:szCs w:val="28"/>
          <w:lang w:val="en-US" w:eastAsia="zh-CN"/>
        </w:rPr>
        <w:t>医院信息系统的稳定。</w:t>
      </w:r>
      <w:r>
        <w:rPr>
          <w:rFonts w:hint="eastAsia" w:ascii="仿宋" w:hAnsi="仿宋" w:eastAsia="仿宋" w:cs="仿宋"/>
          <w:b w:val="0"/>
          <w:bCs w:val="0"/>
          <w:sz w:val="28"/>
          <w:szCs w:val="28"/>
          <w:lang w:val="en-US" w:eastAsia="zh-CN"/>
        </w:rPr>
        <w:t xml:space="preserve">同时，网络系统作为医院信息系统的支撑系统，医院的日常运行也需要依靠机房网络的稳定运行来支撑。 </w:t>
      </w:r>
    </w:p>
    <w:p w14:paraId="0E0FB019">
      <w:pPr>
        <w:numPr>
          <w:ilvl w:val="0"/>
          <w:numId w:val="0"/>
        </w:numPr>
        <w:spacing w:line="240" w:lineRule="auto"/>
        <w:ind w:firstLine="56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8"/>
          <w:szCs w:val="28"/>
          <w:lang w:val="en-US" w:eastAsia="zh-CN"/>
        </w:rPr>
        <w:t xml:space="preserve">综上所述，维持医院核心业务相关的供电系统和网络系统的安全可靠是医院日常运行中的核心重要工作之一。             </w:t>
      </w:r>
      <w:r>
        <w:rPr>
          <w:rFonts w:hint="eastAsia" w:ascii="仿宋" w:hAnsi="仿宋" w:eastAsia="仿宋" w:cs="仿宋"/>
          <w:b w:val="0"/>
          <w:bCs w:val="0"/>
          <w:sz w:val="24"/>
          <w:szCs w:val="24"/>
          <w:lang w:val="en-US" w:eastAsia="zh-CN"/>
        </w:rPr>
        <w:t xml:space="preserve"> </w:t>
      </w:r>
    </w:p>
    <w:p w14:paraId="492DA593">
      <w:pPr>
        <w:rPr>
          <w:rFonts w:hint="eastAsia" w:ascii="仿宋" w:hAnsi="仿宋" w:eastAsia="仿宋" w:cs="仿宋"/>
          <w:sz w:val="24"/>
          <w:szCs w:val="24"/>
        </w:rPr>
      </w:pPr>
    </w:p>
    <w:p w14:paraId="658479A3">
      <w:pPr>
        <w:pStyle w:val="8"/>
        <w:rPr>
          <w:rFonts w:hint="eastAsia"/>
        </w:rPr>
      </w:pPr>
      <w:r>
        <w:rPr>
          <w:rFonts w:hint="eastAsia"/>
        </w:rPr>
        <w:t>项目建设清单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5113"/>
        <w:gridCol w:w="1582"/>
        <w:gridCol w:w="947"/>
      </w:tblGrid>
      <w:tr w14:paraId="44EB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top"/>
          </w:tcPr>
          <w:p w14:paraId="2B7DDE5D">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序号</w:t>
            </w:r>
          </w:p>
        </w:tc>
        <w:tc>
          <w:tcPr>
            <w:tcW w:w="5113" w:type="dxa"/>
            <w:vAlign w:val="top"/>
          </w:tcPr>
          <w:p w14:paraId="61AEE1CD">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项目名称</w:t>
            </w:r>
          </w:p>
        </w:tc>
        <w:tc>
          <w:tcPr>
            <w:tcW w:w="1582" w:type="dxa"/>
            <w:vAlign w:val="top"/>
          </w:tcPr>
          <w:p w14:paraId="7C1EF743">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单位：项</w:t>
            </w:r>
          </w:p>
        </w:tc>
        <w:tc>
          <w:tcPr>
            <w:tcW w:w="947" w:type="dxa"/>
            <w:vAlign w:val="top"/>
          </w:tcPr>
          <w:p w14:paraId="32D07402">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备注</w:t>
            </w:r>
          </w:p>
        </w:tc>
      </w:tr>
      <w:tr w14:paraId="6EB6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top"/>
          </w:tcPr>
          <w:p w14:paraId="1B69FB07">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1</w:t>
            </w:r>
          </w:p>
        </w:tc>
        <w:tc>
          <w:tcPr>
            <w:tcW w:w="5113" w:type="dxa"/>
            <w:vAlign w:val="top"/>
          </w:tcPr>
          <w:p w14:paraId="027E18F1">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cstheme="minorBidi"/>
                <w:kern w:val="2"/>
                <w:sz w:val="21"/>
                <w:szCs w:val="20"/>
                <w:lang w:val="en-US" w:eastAsia="zh-CN" w:bidi="ar-SA"/>
              </w:rPr>
              <w:t>信息机房UPS升级扩容及机房性能优化项目</w:t>
            </w:r>
          </w:p>
        </w:tc>
        <w:tc>
          <w:tcPr>
            <w:tcW w:w="1582" w:type="dxa"/>
            <w:vAlign w:val="top"/>
          </w:tcPr>
          <w:p w14:paraId="750C2E02">
            <w:pPr>
              <w:pStyle w:val="9"/>
              <w:spacing w:line="360" w:lineRule="auto"/>
              <w:jc w:val="center"/>
              <w:rPr>
                <w:rFonts w:hint="default" w:ascii="宋体" w:hAnsi="宋体" w:eastAsiaTheme="minorEastAsia" w:cstheme="minorBidi"/>
                <w:kern w:val="2"/>
                <w:sz w:val="21"/>
                <w:szCs w:val="20"/>
                <w:lang w:val="en-US" w:eastAsia="zh-CN" w:bidi="ar-SA"/>
              </w:rPr>
            </w:pPr>
            <w:r>
              <w:rPr>
                <w:rFonts w:hint="eastAsia" w:ascii="宋体" w:hAnsi="宋体" w:eastAsiaTheme="minorEastAsia" w:cstheme="minorBidi"/>
                <w:kern w:val="2"/>
                <w:sz w:val="21"/>
                <w:szCs w:val="20"/>
                <w:lang w:val="en-US" w:eastAsia="zh-CN" w:bidi="ar-SA"/>
              </w:rPr>
              <w:t>1</w:t>
            </w:r>
          </w:p>
        </w:tc>
        <w:tc>
          <w:tcPr>
            <w:tcW w:w="947" w:type="dxa"/>
            <w:vAlign w:val="top"/>
          </w:tcPr>
          <w:p w14:paraId="62ED0547">
            <w:pPr>
              <w:pStyle w:val="9"/>
              <w:spacing w:line="360" w:lineRule="auto"/>
              <w:jc w:val="center"/>
              <w:rPr>
                <w:rFonts w:hint="eastAsia" w:ascii="宋体" w:hAnsi="宋体" w:eastAsiaTheme="minorEastAsia" w:cstheme="minorBidi"/>
                <w:kern w:val="2"/>
                <w:sz w:val="21"/>
                <w:szCs w:val="20"/>
                <w:lang w:val="en-US" w:eastAsia="zh-CN" w:bidi="ar-SA"/>
              </w:rPr>
            </w:pPr>
          </w:p>
        </w:tc>
      </w:tr>
    </w:tbl>
    <w:p w14:paraId="31CE482B">
      <w:pPr>
        <w:rPr>
          <w:rFonts w:hint="eastAsia"/>
        </w:rPr>
      </w:pPr>
    </w:p>
    <w:p w14:paraId="4B41E253">
      <w:pPr>
        <w:pStyle w:val="8"/>
        <w:rPr>
          <w:rFonts w:hint="eastAsia"/>
        </w:rPr>
      </w:pPr>
      <w:r>
        <w:rPr>
          <w:rFonts w:hint="eastAsia"/>
        </w:rPr>
        <w:t>项目建设内容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505"/>
        <w:gridCol w:w="5218"/>
      </w:tblGrid>
      <w:tr w14:paraId="35F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64A360A7">
            <w:pPr>
              <w:numPr>
                <w:ilvl w:val="0"/>
                <w:numId w:val="0"/>
              </w:numPr>
              <w:jc w:val="center"/>
              <w:rPr>
                <w:rFonts w:hint="eastAsia" w:ascii="宋体" w:hAnsi="宋体"/>
                <w:b/>
                <w:bCs/>
                <w:lang w:val="en-US" w:eastAsia="zh-CN"/>
              </w:rPr>
            </w:pPr>
            <w:r>
              <w:rPr>
                <w:rFonts w:hint="eastAsia" w:ascii="宋体" w:hAnsi="宋体"/>
                <w:b/>
                <w:bCs/>
                <w:lang w:val="en-US" w:eastAsia="zh-CN"/>
              </w:rPr>
              <w:t>名称</w:t>
            </w:r>
          </w:p>
        </w:tc>
        <w:tc>
          <w:tcPr>
            <w:tcW w:w="2505" w:type="dxa"/>
            <w:vAlign w:val="center"/>
          </w:tcPr>
          <w:p w14:paraId="1D639EB2">
            <w:pPr>
              <w:numPr>
                <w:ilvl w:val="0"/>
                <w:numId w:val="0"/>
              </w:numPr>
              <w:jc w:val="center"/>
              <w:rPr>
                <w:rFonts w:hint="eastAsia" w:ascii="宋体" w:hAnsi="宋体"/>
                <w:b/>
                <w:bCs/>
                <w:lang w:val="en-US" w:eastAsia="zh-CN"/>
              </w:rPr>
            </w:pPr>
            <w:r>
              <w:rPr>
                <w:rFonts w:hint="eastAsia" w:ascii="宋体" w:hAnsi="宋体"/>
                <w:b/>
                <w:bCs/>
                <w:lang w:val="en-US" w:eastAsia="zh-CN"/>
              </w:rPr>
              <w:t>功能</w:t>
            </w:r>
          </w:p>
        </w:tc>
        <w:tc>
          <w:tcPr>
            <w:tcW w:w="5218" w:type="dxa"/>
            <w:vAlign w:val="center"/>
          </w:tcPr>
          <w:p w14:paraId="1FE15602">
            <w:pPr>
              <w:numPr>
                <w:ilvl w:val="0"/>
                <w:numId w:val="0"/>
              </w:numPr>
              <w:jc w:val="center"/>
              <w:rPr>
                <w:rFonts w:hint="eastAsia" w:ascii="宋体" w:hAnsi="宋体"/>
                <w:b/>
                <w:bCs/>
                <w:lang w:val="en-US" w:eastAsia="zh-CN"/>
              </w:rPr>
            </w:pPr>
            <w:r>
              <w:rPr>
                <w:rFonts w:hint="eastAsia" w:ascii="宋体" w:hAnsi="宋体"/>
                <w:b/>
                <w:bCs/>
                <w:lang w:val="en-US" w:eastAsia="zh-CN"/>
              </w:rPr>
              <w:t>详细技术要求</w:t>
            </w:r>
          </w:p>
        </w:tc>
      </w:tr>
      <w:tr w14:paraId="6382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721" w:type="dxa"/>
            <w:vMerge w:val="restart"/>
          </w:tcPr>
          <w:p w14:paraId="5F9F41F1">
            <w:pPr>
              <w:numPr>
                <w:ilvl w:val="0"/>
                <w:numId w:val="0"/>
              </w:numPr>
              <w:jc w:val="left"/>
              <w:rPr>
                <w:rFonts w:hint="eastAsia" w:ascii="宋体" w:hAnsi="宋体"/>
                <w:lang w:val="en-US" w:eastAsia="zh-CN"/>
              </w:rPr>
            </w:pPr>
          </w:p>
          <w:p w14:paraId="51BD9C56">
            <w:pPr>
              <w:numPr>
                <w:ilvl w:val="0"/>
                <w:numId w:val="0"/>
              </w:numPr>
              <w:jc w:val="left"/>
              <w:rPr>
                <w:rFonts w:hint="default" w:ascii="宋体" w:hAnsi="宋体"/>
                <w:lang w:val="en-US" w:eastAsia="zh-CN"/>
              </w:rPr>
            </w:pPr>
          </w:p>
          <w:p w14:paraId="20C38689">
            <w:pPr>
              <w:numPr>
                <w:ilvl w:val="0"/>
                <w:numId w:val="0"/>
              </w:numPr>
              <w:jc w:val="left"/>
              <w:rPr>
                <w:rFonts w:hint="eastAsia" w:ascii="宋体" w:hAnsi="宋体"/>
                <w:lang w:val="en-US" w:eastAsia="zh-CN"/>
              </w:rPr>
            </w:pPr>
          </w:p>
          <w:p w14:paraId="550B41B6">
            <w:pPr>
              <w:numPr>
                <w:ilvl w:val="0"/>
                <w:numId w:val="0"/>
              </w:numPr>
              <w:jc w:val="left"/>
              <w:rPr>
                <w:rFonts w:hint="eastAsia" w:ascii="宋体" w:hAnsi="宋体"/>
                <w:lang w:val="en-US" w:eastAsia="zh-CN"/>
              </w:rPr>
            </w:pPr>
          </w:p>
          <w:p w14:paraId="6BCD029A">
            <w:pPr>
              <w:numPr>
                <w:ilvl w:val="0"/>
                <w:numId w:val="0"/>
              </w:numPr>
              <w:jc w:val="left"/>
              <w:rPr>
                <w:rFonts w:hint="eastAsia" w:ascii="宋体" w:hAnsi="宋体"/>
                <w:lang w:val="en-US" w:eastAsia="zh-CN"/>
              </w:rPr>
            </w:pPr>
          </w:p>
          <w:p w14:paraId="7D027359">
            <w:pPr>
              <w:numPr>
                <w:ilvl w:val="0"/>
                <w:numId w:val="0"/>
              </w:numPr>
              <w:jc w:val="left"/>
              <w:rPr>
                <w:rFonts w:hint="eastAsia" w:ascii="宋体" w:hAnsi="宋体"/>
                <w:lang w:val="en-US" w:eastAsia="zh-CN"/>
              </w:rPr>
            </w:pPr>
          </w:p>
          <w:p w14:paraId="7D5A4905">
            <w:pPr>
              <w:numPr>
                <w:ilvl w:val="0"/>
                <w:numId w:val="0"/>
              </w:numPr>
              <w:jc w:val="left"/>
              <w:rPr>
                <w:rFonts w:hint="eastAsia" w:ascii="宋体" w:hAnsi="宋体"/>
                <w:lang w:val="en-US" w:eastAsia="zh-CN"/>
              </w:rPr>
            </w:pPr>
          </w:p>
          <w:p w14:paraId="25C91806">
            <w:pPr>
              <w:numPr>
                <w:ilvl w:val="0"/>
                <w:numId w:val="0"/>
              </w:numPr>
              <w:jc w:val="center"/>
              <w:rPr>
                <w:rFonts w:hint="eastAsia" w:ascii="宋体" w:hAnsi="宋体" w:cstheme="minorBidi"/>
                <w:kern w:val="2"/>
                <w:sz w:val="21"/>
                <w:szCs w:val="20"/>
                <w:lang w:val="en-US" w:eastAsia="zh-CN" w:bidi="ar-SA"/>
              </w:rPr>
            </w:pPr>
          </w:p>
          <w:p w14:paraId="5E7B1D0D">
            <w:pPr>
              <w:numPr>
                <w:ilvl w:val="0"/>
                <w:numId w:val="0"/>
              </w:numPr>
              <w:jc w:val="center"/>
              <w:rPr>
                <w:rFonts w:hint="eastAsia" w:ascii="宋体" w:hAnsi="宋体" w:cstheme="minorBidi"/>
                <w:kern w:val="2"/>
                <w:sz w:val="21"/>
                <w:szCs w:val="20"/>
                <w:lang w:val="en-US" w:eastAsia="zh-CN" w:bidi="ar-SA"/>
              </w:rPr>
            </w:pPr>
          </w:p>
          <w:p w14:paraId="284AA223">
            <w:pPr>
              <w:numPr>
                <w:ilvl w:val="0"/>
                <w:numId w:val="0"/>
              </w:numPr>
              <w:jc w:val="center"/>
              <w:rPr>
                <w:rFonts w:hint="eastAsia" w:ascii="宋体" w:hAnsi="宋体" w:cstheme="minorBidi"/>
                <w:kern w:val="2"/>
                <w:sz w:val="21"/>
                <w:szCs w:val="20"/>
                <w:lang w:val="en-US" w:eastAsia="zh-CN" w:bidi="ar-SA"/>
              </w:rPr>
            </w:pPr>
          </w:p>
          <w:p w14:paraId="7CA3A6A3">
            <w:pPr>
              <w:numPr>
                <w:ilvl w:val="0"/>
                <w:numId w:val="0"/>
              </w:numPr>
              <w:jc w:val="center"/>
              <w:rPr>
                <w:rFonts w:hint="eastAsia" w:ascii="宋体" w:hAnsi="宋体" w:cstheme="minorBidi"/>
                <w:kern w:val="2"/>
                <w:sz w:val="21"/>
                <w:szCs w:val="20"/>
                <w:lang w:val="en-US" w:eastAsia="zh-CN" w:bidi="ar-SA"/>
              </w:rPr>
            </w:pPr>
          </w:p>
          <w:p w14:paraId="2528847F">
            <w:pPr>
              <w:numPr>
                <w:ilvl w:val="0"/>
                <w:numId w:val="0"/>
              </w:numPr>
              <w:jc w:val="center"/>
              <w:rPr>
                <w:rFonts w:hint="eastAsia" w:ascii="宋体" w:hAnsi="宋体" w:cstheme="minorBidi"/>
                <w:kern w:val="2"/>
                <w:sz w:val="21"/>
                <w:szCs w:val="20"/>
                <w:lang w:val="en-US" w:eastAsia="zh-CN" w:bidi="ar-SA"/>
              </w:rPr>
            </w:pPr>
          </w:p>
          <w:p w14:paraId="2C9792BA">
            <w:pPr>
              <w:numPr>
                <w:ilvl w:val="0"/>
                <w:numId w:val="0"/>
              </w:numPr>
              <w:jc w:val="center"/>
              <w:rPr>
                <w:rFonts w:hint="default" w:ascii="宋体" w:hAnsi="宋体"/>
                <w:lang w:val="en-US" w:eastAsia="zh-CN"/>
              </w:rPr>
            </w:pPr>
            <w:r>
              <w:rPr>
                <w:rFonts w:hint="eastAsia" w:ascii="宋体" w:hAnsi="宋体" w:cstheme="minorBidi"/>
                <w:kern w:val="2"/>
                <w:sz w:val="21"/>
                <w:szCs w:val="20"/>
                <w:lang w:val="en-US" w:eastAsia="zh-CN" w:bidi="ar-SA"/>
              </w:rPr>
              <w:t>信息机房UPS升级扩容及机房性能优化项目</w:t>
            </w:r>
          </w:p>
        </w:tc>
        <w:tc>
          <w:tcPr>
            <w:tcW w:w="2505" w:type="dxa"/>
            <w:vAlign w:val="center"/>
          </w:tcPr>
          <w:p w14:paraId="2B1FD356">
            <w:pPr>
              <w:numPr>
                <w:ilvl w:val="0"/>
                <w:numId w:val="0"/>
              </w:numPr>
              <w:jc w:val="left"/>
              <w:rPr>
                <w:rFonts w:hint="default" w:ascii="宋体" w:hAnsi="宋体"/>
                <w:lang w:val="en-US" w:eastAsia="zh-CN"/>
              </w:rPr>
            </w:pPr>
            <w:r>
              <w:rPr>
                <w:rFonts w:hint="eastAsia" w:ascii="宋体" w:hAnsi="宋体"/>
                <w:lang w:val="en-US" w:eastAsia="zh-CN"/>
              </w:rPr>
              <w:t>1.机房UPS升级扩容</w:t>
            </w:r>
          </w:p>
        </w:tc>
        <w:tc>
          <w:tcPr>
            <w:tcW w:w="5218" w:type="dxa"/>
            <w:vAlign w:val="center"/>
          </w:tcPr>
          <w:p w14:paraId="7B5381B2">
            <w:pPr>
              <w:numPr>
                <w:ilvl w:val="0"/>
                <w:numId w:val="0"/>
              </w:numPr>
              <w:jc w:val="left"/>
              <w:rPr>
                <w:rFonts w:hint="eastAsia" w:ascii="宋体" w:hAnsi="宋体"/>
                <w:lang w:val="en-US" w:eastAsia="zh-CN"/>
              </w:rPr>
            </w:pPr>
            <w:r>
              <w:rPr>
                <w:rFonts w:hint="eastAsia" w:ascii="宋体" w:hAnsi="宋体"/>
                <w:lang w:val="en-US" w:eastAsia="zh-CN"/>
              </w:rPr>
              <w:t>功率模块品牌与现有UPS系统一致（如APC SYPX、Eaton、维谛（原艾默生）等），输入电压220V/380V，输出功率30KVA，支持热插拔； 供应商需提供原有UPS品牌艾默生（更名后为维谛技术）厂家的授权和售后服务承诺函，以证明具备该型号UPS的技术操作资质和服务能力；UPS扩容热插拔需由维谛技术原厂或者授权工程师操作完成，以保证扩容工作正常、最低风险进行；扩容工作前，需提供厂家售后服务团队出具的设备在保的证明函，保证UPS由原厂保障兜底；扩容完成后，UPS整机需提供三年质保、期间所有故障及备件更换由供应商免费提供原厂备件；完成扩容后需要将UPS接入医院现有动环集成平台，通过集成平台统一有效监控。</w:t>
            </w:r>
          </w:p>
        </w:tc>
      </w:tr>
      <w:tr w14:paraId="317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7CA24897">
            <w:pPr>
              <w:numPr>
                <w:ilvl w:val="0"/>
                <w:numId w:val="0"/>
              </w:numPr>
              <w:jc w:val="left"/>
              <w:rPr>
                <w:rFonts w:hint="default" w:ascii="宋体" w:hAnsi="宋体"/>
                <w:lang w:val="en-US" w:eastAsia="zh-CN"/>
              </w:rPr>
            </w:pPr>
          </w:p>
        </w:tc>
        <w:tc>
          <w:tcPr>
            <w:tcW w:w="2505" w:type="dxa"/>
            <w:vAlign w:val="center"/>
          </w:tcPr>
          <w:p w14:paraId="2A8EAAB7">
            <w:pPr>
              <w:numPr>
                <w:ilvl w:val="0"/>
                <w:numId w:val="0"/>
              </w:numPr>
              <w:jc w:val="left"/>
              <w:rPr>
                <w:rFonts w:hint="default" w:ascii="宋体" w:hAnsi="宋体"/>
                <w:lang w:val="en-US" w:eastAsia="zh-CN"/>
              </w:rPr>
            </w:pPr>
            <w:r>
              <w:rPr>
                <w:rFonts w:hint="eastAsia" w:ascii="宋体" w:hAnsi="宋体"/>
                <w:lang w:val="en-US" w:eastAsia="zh-CN"/>
              </w:rPr>
              <w:t>2.机房电池升级更换</w:t>
            </w:r>
          </w:p>
        </w:tc>
        <w:tc>
          <w:tcPr>
            <w:tcW w:w="5218" w:type="dxa"/>
          </w:tcPr>
          <w:p w14:paraId="45FFEA12">
            <w:pPr>
              <w:numPr>
                <w:ilvl w:val="0"/>
                <w:numId w:val="0"/>
              </w:numPr>
              <w:jc w:val="left"/>
              <w:rPr>
                <w:rFonts w:hint="eastAsia" w:ascii="宋体" w:hAnsi="宋体"/>
                <w:lang w:val="en-US" w:eastAsia="zh-CN"/>
              </w:rPr>
            </w:pPr>
            <w:r>
              <w:rPr>
                <w:rFonts w:hint="eastAsia" w:ascii="宋体" w:hAnsi="宋体"/>
                <w:lang w:val="en-US" w:eastAsia="zh-CN"/>
              </w:rPr>
              <w:t>电池类型为免维护铅酸蓄电池；为方便统一维护管理、统一售后，电池品牌优先选择UPS同品牌；为保证电池产品正规性，需提供原厂出货证明和质保三年售后服务承诺函；电池组需接入医院现有动环集成平台，通过集成平台统一有效监控。</w:t>
            </w:r>
          </w:p>
        </w:tc>
      </w:tr>
      <w:tr w14:paraId="1791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28198F1B">
            <w:pPr>
              <w:numPr>
                <w:ilvl w:val="0"/>
                <w:numId w:val="0"/>
              </w:numPr>
              <w:jc w:val="left"/>
              <w:rPr>
                <w:rFonts w:hint="default" w:ascii="宋体" w:hAnsi="宋体"/>
                <w:lang w:val="en-US" w:eastAsia="zh-CN"/>
              </w:rPr>
            </w:pPr>
          </w:p>
        </w:tc>
        <w:tc>
          <w:tcPr>
            <w:tcW w:w="2505" w:type="dxa"/>
            <w:vAlign w:val="center"/>
          </w:tcPr>
          <w:p w14:paraId="2653C50F">
            <w:pPr>
              <w:numPr>
                <w:ilvl w:val="0"/>
                <w:numId w:val="0"/>
              </w:numPr>
              <w:jc w:val="left"/>
              <w:rPr>
                <w:rFonts w:hint="default" w:ascii="宋体" w:hAnsi="宋体"/>
                <w:lang w:val="en-US" w:eastAsia="zh-CN"/>
              </w:rPr>
            </w:pPr>
            <w:r>
              <w:rPr>
                <w:rFonts w:hint="eastAsia" w:ascii="宋体" w:hAnsi="宋体"/>
                <w:lang w:val="en-US" w:eastAsia="zh-CN"/>
              </w:rPr>
              <w:t>3.机房强电线路优化整理</w:t>
            </w:r>
          </w:p>
        </w:tc>
        <w:tc>
          <w:tcPr>
            <w:tcW w:w="5218" w:type="dxa"/>
          </w:tcPr>
          <w:p w14:paraId="24E58034">
            <w:pPr>
              <w:numPr>
                <w:ilvl w:val="0"/>
                <w:numId w:val="0"/>
              </w:numPr>
              <w:jc w:val="left"/>
              <w:rPr>
                <w:rFonts w:hint="eastAsia" w:ascii="宋体" w:hAnsi="宋体"/>
                <w:lang w:val="en-US" w:eastAsia="zh-CN"/>
              </w:rPr>
            </w:pPr>
            <w:r>
              <w:rPr>
                <w:rFonts w:hint="eastAsia" w:ascii="宋体" w:hAnsi="宋体"/>
                <w:lang w:val="en-US" w:eastAsia="zh-CN"/>
              </w:rPr>
              <w:t>标签材质需耐高温、防潮、耐用，标签内容需包括PDU编号、供电设备名称、对应开关柜开关等信息；整理完成后，需形成机房配电架构系统图，打印成版挂墙及形成技术部门数字资产资料并作为验收资料提供给甲方存档；整理完成后，形成机柜功率分配电子表，并作为数字资产提交电子档给甲方保存、存档；整理调整后，需恢复部分机柜U位设备管理的监测，更新动环系统的配置。</w:t>
            </w:r>
          </w:p>
        </w:tc>
      </w:tr>
      <w:tr w14:paraId="7B5C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43FD85ED">
            <w:pPr>
              <w:numPr>
                <w:ilvl w:val="0"/>
                <w:numId w:val="0"/>
              </w:numPr>
              <w:jc w:val="left"/>
              <w:rPr>
                <w:rFonts w:hint="eastAsia" w:ascii="宋体" w:hAnsi="宋体"/>
                <w:lang w:val="en-US" w:eastAsia="zh-CN"/>
              </w:rPr>
            </w:pPr>
          </w:p>
        </w:tc>
        <w:tc>
          <w:tcPr>
            <w:tcW w:w="2505" w:type="dxa"/>
            <w:vAlign w:val="center"/>
          </w:tcPr>
          <w:p w14:paraId="5AC44532">
            <w:pPr>
              <w:numPr>
                <w:ilvl w:val="0"/>
                <w:numId w:val="0"/>
              </w:numPr>
              <w:jc w:val="left"/>
              <w:rPr>
                <w:rFonts w:hint="eastAsia" w:ascii="宋体" w:hAnsi="宋体"/>
                <w:lang w:val="en-US" w:eastAsia="zh-CN"/>
              </w:rPr>
            </w:pPr>
            <w:r>
              <w:rPr>
                <w:rFonts w:hint="eastAsia" w:ascii="宋体" w:hAnsi="宋体"/>
                <w:lang w:val="en-US" w:eastAsia="zh-CN"/>
              </w:rPr>
              <w:t>4.机房弱电线路优化整理</w:t>
            </w:r>
          </w:p>
          <w:p w14:paraId="51402588">
            <w:pPr>
              <w:numPr>
                <w:ilvl w:val="0"/>
                <w:numId w:val="0"/>
              </w:numPr>
              <w:jc w:val="left"/>
              <w:rPr>
                <w:rFonts w:hint="default" w:ascii="宋体" w:hAnsi="宋体"/>
                <w:lang w:val="en-US" w:eastAsia="zh-CN"/>
              </w:rPr>
            </w:pPr>
          </w:p>
        </w:tc>
        <w:tc>
          <w:tcPr>
            <w:tcW w:w="5218" w:type="dxa"/>
          </w:tcPr>
          <w:p w14:paraId="11DCF9BA">
            <w:pPr>
              <w:numPr>
                <w:ilvl w:val="0"/>
                <w:numId w:val="0"/>
              </w:numPr>
              <w:jc w:val="left"/>
              <w:rPr>
                <w:rFonts w:hint="eastAsia" w:ascii="宋体" w:hAnsi="宋体"/>
                <w:lang w:val="en-US" w:eastAsia="zh-CN"/>
              </w:rPr>
            </w:pPr>
            <w:r>
              <w:rPr>
                <w:rFonts w:hint="eastAsia" w:ascii="宋体" w:hAnsi="宋体"/>
                <w:lang w:val="en-US" w:eastAsia="zh-CN"/>
              </w:rPr>
              <w:t>使用理线架和扎带固定线缆，光纤和网络线等走线，避免干扰、杂乱；标签材质需耐高温、防潮、耐用，标签内容需包括设备名称及端口号。</w:t>
            </w:r>
          </w:p>
        </w:tc>
      </w:tr>
      <w:tr w14:paraId="4B5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61FE8146">
            <w:pPr>
              <w:numPr>
                <w:ilvl w:val="0"/>
                <w:numId w:val="0"/>
              </w:numPr>
              <w:jc w:val="center"/>
              <w:rPr>
                <w:rFonts w:hint="default" w:ascii="宋体" w:hAnsi="宋体"/>
                <w:lang w:val="en-US" w:eastAsia="zh-CN"/>
              </w:rPr>
            </w:pPr>
          </w:p>
        </w:tc>
        <w:tc>
          <w:tcPr>
            <w:tcW w:w="2505" w:type="dxa"/>
            <w:vAlign w:val="center"/>
          </w:tcPr>
          <w:p w14:paraId="1E2D1614">
            <w:pPr>
              <w:numPr>
                <w:ilvl w:val="0"/>
                <w:numId w:val="0"/>
              </w:numPr>
              <w:jc w:val="left"/>
              <w:rPr>
                <w:rFonts w:hint="default" w:ascii="宋体" w:hAnsi="宋体"/>
                <w:lang w:val="en-US" w:eastAsia="zh-CN"/>
              </w:rPr>
            </w:pPr>
            <w:r>
              <w:rPr>
                <w:rFonts w:hint="eastAsia" w:ascii="宋体" w:hAnsi="宋体"/>
                <w:lang w:val="en-US" w:eastAsia="zh-CN"/>
              </w:rPr>
              <w:t>5.机房动环集成平台升级、联调、监控大屏展示</w:t>
            </w:r>
          </w:p>
          <w:p w14:paraId="03A8965F">
            <w:pPr>
              <w:numPr>
                <w:ilvl w:val="0"/>
                <w:numId w:val="0"/>
              </w:numPr>
              <w:jc w:val="left"/>
              <w:rPr>
                <w:rFonts w:hint="default" w:ascii="宋体" w:hAnsi="宋体"/>
                <w:lang w:val="en-US" w:eastAsia="zh-CN"/>
              </w:rPr>
            </w:pPr>
          </w:p>
        </w:tc>
        <w:tc>
          <w:tcPr>
            <w:tcW w:w="5218" w:type="dxa"/>
          </w:tcPr>
          <w:p w14:paraId="0C58053C">
            <w:pPr>
              <w:widowControl/>
              <w:numPr>
                <w:ilvl w:val="-1"/>
                <w:numId w:val="0"/>
              </w:numPr>
              <w:jc w:val="left"/>
              <w:rPr>
                <w:rFonts w:hint="eastAsia" w:ascii="宋体" w:hAnsi="宋体"/>
                <w:lang w:val="en-US" w:eastAsia="zh-CN"/>
              </w:rPr>
            </w:pPr>
            <w:r>
              <w:rPr>
                <w:rFonts w:hint="eastAsia" w:ascii="宋体" w:hAnsi="宋体"/>
                <w:lang w:val="en-US" w:eastAsia="zh-CN"/>
              </w:rPr>
              <w:t>供应商需具有动环集成平台厂家出具的项目授权及售后服务承诺函原件；机房的空调、漏水监测、电池监测系统能接入到医院现有动环集成系统；供应商需提供动环设备厂家提供的兼容证明，证明交付的产品及服务满足现有监控平台的扩容要求。</w:t>
            </w:r>
          </w:p>
          <w:p w14:paraId="60095B89">
            <w:pPr>
              <w:widowControl/>
              <w:numPr>
                <w:ilvl w:val="-1"/>
                <w:numId w:val="0"/>
              </w:numPr>
              <w:jc w:val="left"/>
              <w:rPr>
                <w:rFonts w:hint="eastAsia" w:ascii="宋体" w:hAnsi="宋体"/>
                <w:lang w:val="en-US" w:eastAsia="zh-CN"/>
              </w:rPr>
            </w:pPr>
            <w:r>
              <w:rPr>
                <w:rFonts w:hint="eastAsia" w:ascii="宋体" w:hAnsi="宋体"/>
                <w:lang w:val="en-US" w:eastAsia="zh-CN"/>
              </w:rPr>
              <w:t>动环系统联调调试需由平台原厂工程师现场支撑。</w:t>
            </w:r>
          </w:p>
          <w:p w14:paraId="0D0B70FC">
            <w:pPr>
              <w:widowControl/>
              <w:numPr>
                <w:ilvl w:val="-1"/>
                <w:numId w:val="0"/>
              </w:numPr>
              <w:jc w:val="left"/>
              <w:rPr>
                <w:rFonts w:hint="default" w:ascii="宋体" w:hAnsi="宋体"/>
                <w:lang w:val="en-US" w:eastAsia="zh-CN"/>
              </w:rPr>
            </w:pPr>
            <w:r>
              <w:rPr>
                <w:rFonts w:hint="eastAsia" w:ascii="宋体" w:hAnsi="宋体"/>
                <w:lang w:val="en-US" w:eastAsia="zh-CN"/>
              </w:rPr>
              <w:t>显示大屏尺寸不低于65英寸。需牢固安装于机房监控值班室墙面。需具备触摸功能。支持网络信号输入、高清接口信号输入显示功能。支持</w:t>
            </w:r>
            <w:r>
              <w:rPr>
                <w:rFonts w:hint="eastAsia" w:ascii="宋体" w:hAnsi="宋体" w:eastAsiaTheme="minorEastAsia" w:cstheme="minorBidi"/>
                <w:kern w:val="2"/>
                <w:sz w:val="21"/>
                <w:szCs w:val="20"/>
                <w:lang w:val="en-US" w:eastAsia="zh-CN" w:bidi="ar"/>
              </w:rPr>
              <w:t>Android/Windows系统。提供原厂三年质保。</w:t>
            </w:r>
          </w:p>
        </w:tc>
      </w:tr>
      <w:tr w14:paraId="36D0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Merge w:val="continue"/>
          </w:tcPr>
          <w:p w14:paraId="7F7900EB">
            <w:pPr>
              <w:numPr>
                <w:ilvl w:val="0"/>
                <w:numId w:val="0"/>
              </w:numPr>
              <w:jc w:val="left"/>
              <w:rPr>
                <w:rFonts w:hint="eastAsia" w:ascii="宋体" w:hAnsi="宋体"/>
                <w:lang w:val="en-US" w:eastAsia="zh-CN"/>
              </w:rPr>
            </w:pPr>
          </w:p>
        </w:tc>
        <w:tc>
          <w:tcPr>
            <w:tcW w:w="2505" w:type="dxa"/>
            <w:vAlign w:val="center"/>
          </w:tcPr>
          <w:p w14:paraId="631318BA">
            <w:pPr>
              <w:numPr>
                <w:ilvl w:val="0"/>
                <w:numId w:val="0"/>
              </w:numPr>
              <w:jc w:val="left"/>
              <w:rPr>
                <w:rFonts w:hint="default" w:ascii="宋体" w:hAnsi="宋体"/>
                <w:lang w:val="en-US" w:eastAsia="zh-CN"/>
              </w:rPr>
            </w:pPr>
            <w:r>
              <w:rPr>
                <w:rFonts w:hint="eastAsia" w:ascii="宋体" w:hAnsi="宋体"/>
                <w:lang w:val="en-US" w:eastAsia="zh-CN"/>
              </w:rPr>
              <w:t>6.机房电池间新增精密空调</w:t>
            </w:r>
          </w:p>
        </w:tc>
        <w:tc>
          <w:tcPr>
            <w:tcW w:w="5218" w:type="dxa"/>
            <w:vAlign w:val="center"/>
          </w:tcPr>
          <w:p w14:paraId="5C69A511">
            <w:pPr>
              <w:numPr>
                <w:ilvl w:val="0"/>
                <w:numId w:val="0"/>
              </w:numPr>
              <w:jc w:val="left"/>
              <w:rPr>
                <w:rFonts w:hint="eastAsia" w:ascii="宋体" w:hAnsi="宋体"/>
                <w:lang w:val="en-US" w:eastAsia="zh-Hans"/>
              </w:rPr>
            </w:pPr>
            <w:r>
              <w:rPr>
                <w:rFonts w:hint="eastAsia" w:ascii="宋体" w:hAnsi="宋体"/>
                <w:lang w:val="en-US" w:eastAsia="zh-Hans"/>
              </w:rPr>
              <w:t>精密空调需满足目前</w:t>
            </w:r>
            <w:r>
              <w:rPr>
                <w:rFonts w:hint="eastAsia" w:ascii="宋体" w:hAnsi="宋体"/>
                <w:lang w:val="en-US" w:eastAsia="zh-CN"/>
              </w:rPr>
              <w:t>电池</w:t>
            </w:r>
            <w:r>
              <w:rPr>
                <w:rFonts w:hint="eastAsia" w:ascii="宋体" w:hAnsi="宋体"/>
                <w:lang w:val="en-US" w:eastAsia="zh-Hans"/>
              </w:rPr>
              <w:t>间及扩容后的制冷需求</w:t>
            </w:r>
            <w:r>
              <w:rPr>
                <w:rFonts w:hint="eastAsia" w:ascii="宋体" w:hAnsi="宋体"/>
                <w:lang w:val="en-US" w:eastAsia="zh-CN"/>
              </w:rPr>
              <w:t>；</w:t>
            </w:r>
            <w:r>
              <w:rPr>
                <w:rFonts w:hint="eastAsia" w:ascii="宋体" w:hAnsi="宋体"/>
                <w:lang w:val="en-US" w:eastAsia="zh-Hans"/>
              </w:rPr>
              <w:t>排水不能影响到地面及附近设备</w:t>
            </w:r>
            <w:r>
              <w:rPr>
                <w:rFonts w:hint="eastAsia" w:ascii="宋体" w:hAnsi="宋体"/>
                <w:lang w:val="en-US" w:eastAsia="zh-CN"/>
              </w:rPr>
              <w:t>；</w:t>
            </w:r>
            <w:r>
              <w:rPr>
                <w:rFonts w:hint="eastAsia" w:ascii="宋体" w:hAnsi="宋体"/>
                <w:lang w:val="en-US" w:eastAsia="zh-Hans"/>
              </w:rPr>
              <w:t>优先与原UPS、精密空调等同品牌，以便统一售后、三年原厂质保。</w:t>
            </w:r>
          </w:p>
        </w:tc>
      </w:tr>
      <w:tr w14:paraId="2C04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Pr>
          <w:p w14:paraId="379D52BC">
            <w:pPr>
              <w:numPr>
                <w:ilvl w:val="0"/>
                <w:numId w:val="0"/>
              </w:numPr>
              <w:jc w:val="left"/>
              <w:rPr>
                <w:rFonts w:hint="eastAsia" w:ascii="宋体" w:hAnsi="宋体"/>
                <w:lang w:val="en-US" w:eastAsia="zh-CN"/>
              </w:rPr>
            </w:pPr>
          </w:p>
        </w:tc>
        <w:tc>
          <w:tcPr>
            <w:tcW w:w="2505" w:type="dxa"/>
            <w:vAlign w:val="center"/>
          </w:tcPr>
          <w:p w14:paraId="44609652">
            <w:pPr>
              <w:numPr>
                <w:ilvl w:val="0"/>
                <w:numId w:val="0"/>
              </w:numPr>
              <w:jc w:val="left"/>
              <w:rPr>
                <w:rFonts w:hint="default" w:ascii="宋体" w:hAnsi="宋体"/>
                <w:lang w:val="en-US" w:eastAsia="zh-CN"/>
              </w:rPr>
            </w:pPr>
            <w:r>
              <w:rPr>
                <w:rFonts w:hint="eastAsia" w:ascii="宋体" w:hAnsi="宋体"/>
                <w:lang w:val="en-US" w:eastAsia="zh-CN"/>
              </w:rPr>
              <w:t>7.A栋弱电间UPS集中供电系统</w:t>
            </w:r>
          </w:p>
        </w:tc>
        <w:tc>
          <w:tcPr>
            <w:tcW w:w="5218" w:type="dxa"/>
          </w:tcPr>
          <w:p w14:paraId="110FCB76">
            <w:pPr>
              <w:numPr>
                <w:ilvl w:val="0"/>
                <w:numId w:val="0"/>
              </w:numPr>
              <w:jc w:val="left"/>
              <w:rPr>
                <w:rFonts w:hint="eastAsia" w:ascii="宋体" w:hAnsi="宋体"/>
                <w:lang w:val="en-US" w:eastAsia="zh-Hans"/>
              </w:rPr>
            </w:pPr>
            <w:r>
              <w:rPr>
                <w:rFonts w:hint="eastAsia" w:ascii="宋体" w:hAnsi="宋体"/>
                <w:lang w:val="en-US" w:eastAsia="zh-Hans"/>
              </w:rPr>
              <w:t>供应商提供的UPS品牌及产品，如艾默生ITA2（维谛）、APC GPW2 、伊顿95E系列等</w:t>
            </w:r>
            <w:r>
              <w:rPr>
                <w:rFonts w:hint="eastAsia" w:ascii="宋体" w:hAnsi="宋体"/>
                <w:lang w:val="en-US" w:eastAsia="zh-CN"/>
              </w:rPr>
              <w:t>；</w:t>
            </w:r>
            <w:r>
              <w:rPr>
                <w:rFonts w:hint="eastAsia" w:ascii="宋体" w:hAnsi="宋体"/>
                <w:lang w:val="en-US" w:eastAsia="zh-Hans"/>
              </w:rPr>
              <w:t>电池需与主机同品牌，便于统一售后管理</w:t>
            </w:r>
            <w:r>
              <w:rPr>
                <w:rFonts w:hint="eastAsia" w:ascii="宋体" w:hAnsi="宋体"/>
                <w:lang w:val="en-US" w:eastAsia="zh-CN"/>
              </w:rPr>
              <w:t>；</w:t>
            </w:r>
            <w:r>
              <w:rPr>
                <w:rFonts w:hint="eastAsia" w:ascii="宋体" w:hAnsi="宋体"/>
                <w:lang w:val="en-US" w:eastAsia="zh-Hans"/>
              </w:rPr>
              <w:t>需增加电池监控及UPS监控，并接入现有动环集成平台。</w:t>
            </w:r>
          </w:p>
        </w:tc>
      </w:tr>
      <w:tr w14:paraId="6FD6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1" w:type="dxa"/>
            <w:vMerge w:val="continue"/>
          </w:tcPr>
          <w:p w14:paraId="18C9C297">
            <w:pPr>
              <w:numPr>
                <w:ilvl w:val="0"/>
                <w:numId w:val="0"/>
              </w:numPr>
              <w:jc w:val="left"/>
              <w:rPr>
                <w:rFonts w:hint="default" w:ascii="宋体" w:hAnsi="宋体"/>
                <w:lang w:val="en-US" w:eastAsia="zh-CN"/>
              </w:rPr>
            </w:pPr>
          </w:p>
        </w:tc>
        <w:tc>
          <w:tcPr>
            <w:tcW w:w="2505" w:type="dxa"/>
            <w:vAlign w:val="center"/>
          </w:tcPr>
          <w:p w14:paraId="4083E250">
            <w:pPr>
              <w:numPr>
                <w:ilvl w:val="0"/>
                <w:numId w:val="0"/>
              </w:numPr>
              <w:jc w:val="left"/>
              <w:rPr>
                <w:rFonts w:hint="default" w:ascii="宋体" w:hAnsi="宋体"/>
                <w:lang w:val="en-US" w:eastAsia="zh-CN"/>
              </w:rPr>
            </w:pPr>
            <w:r>
              <w:rPr>
                <w:rFonts w:hint="eastAsia" w:ascii="宋体" w:hAnsi="宋体"/>
                <w:lang w:val="en-US" w:eastAsia="zh-CN"/>
              </w:rPr>
              <w:t>8.弱电间门禁升级改造</w:t>
            </w:r>
          </w:p>
        </w:tc>
        <w:tc>
          <w:tcPr>
            <w:tcW w:w="5218" w:type="dxa"/>
          </w:tcPr>
          <w:p w14:paraId="4532F900">
            <w:pPr>
              <w:numPr>
                <w:ilvl w:val="0"/>
                <w:numId w:val="0"/>
              </w:numPr>
              <w:jc w:val="left"/>
              <w:rPr>
                <w:rFonts w:hint="default" w:ascii="宋体" w:hAnsi="宋体"/>
                <w:lang w:val="en-US" w:eastAsia="zh-CN"/>
              </w:rPr>
            </w:pPr>
            <w:r>
              <w:rPr>
                <w:rFonts w:hint="default" w:ascii="宋体" w:hAnsi="宋体"/>
                <w:lang w:val="en-US" w:eastAsia="zh-CN"/>
              </w:rPr>
              <w:t>需实现门禁刷卡、密码、面部识别一体化管理；支持单独软件管理,最大支持5000张人脸数据、最多可扩展50000张IC卡；采用7寸显示屏，高清显示,有限网络连接</w:t>
            </w:r>
            <w:r>
              <w:rPr>
                <w:rFonts w:hint="eastAsia" w:ascii="宋体" w:hAnsi="宋体"/>
                <w:lang w:val="en-US" w:eastAsia="zh-CN"/>
              </w:rPr>
              <w:t>；</w:t>
            </w:r>
            <w:r>
              <w:rPr>
                <w:rFonts w:hint="default" w:ascii="宋体" w:hAnsi="宋体"/>
                <w:lang w:val="en-US" w:eastAsia="zh-CN"/>
              </w:rPr>
              <w:t>支持联动对讲功能</w:t>
            </w:r>
            <w:r>
              <w:rPr>
                <w:rFonts w:hint="eastAsia" w:ascii="宋体" w:hAnsi="宋体"/>
                <w:lang w:val="en-US" w:eastAsia="zh-CN"/>
              </w:rPr>
              <w:t>、</w:t>
            </w:r>
            <w:r>
              <w:rPr>
                <w:rFonts w:hint="default" w:ascii="宋体" w:hAnsi="宋体"/>
                <w:lang w:val="en-US" w:eastAsia="zh-CN"/>
              </w:rPr>
              <w:t>支持10万条信息记录</w:t>
            </w:r>
            <w:r>
              <w:rPr>
                <w:rFonts w:hint="eastAsia" w:ascii="宋体" w:hAnsi="宋体"/>
                <w:lang w:val="en-US" w:eastAsia="zh-CN"/>
              </w:rPr>
              <w:t>、</w:t>
            </w:r>
            <w:r>
              <w:rPr>
                <w:rFonts w:hint="default" w:ascii="宋体" w:hAnsi="宋体"/>
                <w:lang w:val="en-US" w:eastAsia="zh-CN"/>
              </w:rPr>
              <w:t>支持应急条件下断网的单机运行</w:t>
            </w:r>
            <w:r>
              <w:rPr>
                <w:rFonts w:hint="eastAsia" w:ascii="宋体" w:hAnsi="宋体"/>
                <w:lang w:val="en-US" w:eastAsia="zh-CN"/>
              </w:rPr>
              <w:t>；</w:t>
            </w:r>
            <w:r>
              <w:rPr>
                <w:rFonts w:hint="default" w:ascii="宋体" w:hAnsi="宋体"/>
                <w:lang w:val="en-US" w:eastAsia="zh-CN"/>
              </w:rPr>
              <w:t>需可以通过网络远程授权对门禁进行开启及关闭</w:t>
            </w:r>
            <w:r>
              <w:rPr>
                <w:rFonts w:hint="eastAsia" w:ascii="宋体" w:hAnsi="宋体"/>
                <w:lang w:val="en-US" w:eastAsia="zh-CN"/>
              </w:rPr>
              <w:t>；</w:t>
            </w:r>
            <w:r>
              <w:rPr>
                <w:rFonts w:hint="default" w:ascii="宋体" w:hAnsi="宋体"/>
                <w:lang w:val="en-US" w:eastAsia="zh-CN"/>
              </w:rPr>
              <w:t>门禁系统接入实现统一管理，接入现有动环系统的协议及端口。</w:t>
            </w:r>
          </w:p>
        </w:tc>
      </w:tr>
    </w:tbl>
    <w:p w14:paraId="39946497">
      <w:pPr>
        <w:rPr>
          <w:rFonts w:hint="eastAsia" w:ascii="宋体" w:hAnsi="宋体" w:eastAsia="宋体"/>
        </w:rPr>
      </w:pPr>
    </w:p>
    <w:p w14:paraId="403E7788">
      <w:pPr>
        <w:pStyle w:val="8"/>
        <w:rPr>
          <w:rFonts w:hint="eastAsia"/>
        </w:rPr>
      </w:pPr>
      <w:r>
        <w:rPr>
          <w:rFonts w:hint="eastAsia"/>
        </w:rPr>
        <w:t>项目预算说明</w:t>
      </w:r>
    </w:p>
    <w:p w14:paraId="7A6173A3">
      <w:pPr>
        <w:spacing w:line="360" w:lineRule="auto"/>
        <w:ind w:firstLine="42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p w14:paraId="038A825E">
      <w:pPr>
        <w:spacing w:line="360" w:lineRule="auto"/>
        <w:ind w:firstLine="420" w:firstLineChars="200"/>
        <w:rPr>
          <w:rFonts w:hint="eastAsia" w:ascii="宋体" w:hAnsi="宋体" w:eastAsia="宋体"/>
        </w:rPr>
      </w:pPr>
    </w:p>
    <w:p w14:paraId="19607E0F">
      <w:bookmarkStart w:id="0" w:name="_GoBack"/>
      <w:bookmarkEnd w:id="0"/>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8"/>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4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637"/>
    </w:pPr>
    <w:rPr>
      <w:rFonts w:ascii="宋体" w:hAnsi="宋体" w:eastAsia="宋体" w:cs="宋体"/>
      <w:kern w:val="0"/>
    </w:rPr>
  </w:style>
  <w:style w:type="paragraph" w:styleId="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Body Text First Indent"/>
    <w:basedOn w:val="2"/>
    <w:qFormat/>
    <w:uiPriority w:val="0"/>
    <w:pPr>
      <w:ind w:firstLine="420" w:firstLineChars="100"/>
    </w:pPr>
  </w:style>
  <w:style w:type="table" w:styleId="6">
    <w:name w:val="Table Grid"/>
    <w:basedOn w:val="5"/>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各章标题（方案）"/>
    <w:basedOn w:val="3"/>
    <w:next w:val="1"/>
    <w:autoRedefine/>
    <w:qFormat/>
    <w:uiPriority w:val="0"/>
    <w:pPr>
      <w:numPr>
        <w:ilvl w:val="0"/>
        <w:numId w:val="1"/>
      </w:numPr>
      <w:spacing w:before="480" w:after="360"/>
    </w:pPr>
    <w:rPr>
      <w:rFonts w:ascii="黑体" w:hAnsi="黑体" w:eastAsia="黑体"/>
    </w:rPr>
  </w:style>
  <w:style w:type="paragraph" w:customStyle="1" w:styleId="9">
    <w:name w:val="段落文字（正文）"/>
    <w:basedOn w:val="1"/>
    <w:qFormat/>
    <w:uiPriority w:val="0"/>
    <w:rPr>
      <w:rFonts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2025-05-16T11:12:37Z</dcterms:created>
  <dcterms:modified xsi:type="dcterms:W3CDTF">2025-05-16T11:13:05Z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eyJoZGlkIjoiODViNjZkMjcyNGRkNGY0NjdiZWM3YWJjYzgyMDExMDIiLCJ1c2VySWQiOiIyMTc5NDA3NTIifQ==</vt:lpwstr>
  </property>
  <property fmtid="{D5CDD505-2E9C-101B-9397-08002B2CF9AE}" pid="4" name="ICV">
    <vt:lpwstr>C101552A70B8459FBCF9BF01BF0AEBB5_12</vt:lpwstr>
  </property>
</Properties>
</file>